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</w:t>
      </w: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华文中宋" w:hAnsi="华文中宋" w:eastAsia="华文中宋" w:cs="华文中宋"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/>
        </w:rPr>
        <w:t>海南省旅游投资发展有限公司</w:t>
      </w: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textAlignment w:val="auto"/>
        <w:rPr>
          <w:rFonts w:hint="default" w:ascii="华文中宋" w:hAnsi="华文中宋" w:eastAsia="华文中宋" w:cs="华文中宋"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/>
        </w:rPr>
        <w:t>关于选聘资产评估机构评审标准</w:t>
      </w:r>
    </w:p>
    <w:p>
      <w:pPr>
        <w:pStyle w:val="4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51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资格评审</w:t>
      </w:r>
    </w:p>
    <w:p>
      <w:pPr>
        <w:pStyle w:val="4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51" w:lineRule="atLeast"/>
        <w:ind w:firstLine="640" w:firstLineChars="20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对比选申请人的参选资格进行评审，符合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全部参选资格的申请人进入到综合评审阶段。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评审要求如下：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4366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9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36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资质要求</w:t>
            </w:r>
          </w:p>
        </w:tc>
        <w:tc>
          <w:tcPr>
            <w:tcW w:w="331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具有独立法人资格</w:t>
            </w:r>
          </w:p>
        </w:tc>
        <w:tc>
          <w:tcPr>
            <w:tcW w:w="3311" w:type="dxa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提供营业执照副本复印件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相关部门的备案文件或批文，职业时限按营业执照上成立时间算起。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6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未被列入失信被执行人、重大税收违法案件当事人名单</w:t>
            </w:r>
          </w:p>
        </w:tc>
        <w:tc>
          <w:tcPr>
            <w:tcW w:w="3311" w:type="dxa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从信用中国网站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或全国企业信用信息公示系统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查询到的企业信息无不良记录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6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社保、纳税记录证明</w:t>
            </w:r>
          </w:p>
        </w:tc>
        <w:tc>
          <w:tcPr>
            <w:tcW w:w="3311" w:type="dxa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提供最近一期社保缴纳证明或纳税证明并加盖公章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6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证券等相关业务评估资质</w:t>
            </w:r>
          </w:p>
        </w:tc>
        <w:tc>
          <w:tcPr>
            <w:tcW w:w="3311" w:type="dxa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提供资质证明文件</w:t>
            </w:r>
          </w:p>
        </w:tc>
      </w:tr>
    </w:tbl>
    <w:p>
      <w:pPr>
        <w:pStyle w:val="11"/>
        <w:keepNext/>
        <w:keepLines w:val="0"/>
        <w:pageBreakBefore w:val="0"/>
        <w:tabs>
          <w:tab w:val="left" w:pos="502"/>
        </w:tabs>
        <w:kinsoku/>
        <w:wordWrap/>
        <w:overflowPunct/>
        <w:topLinePunct w:val="0"/>
        <w:bidi w:val="0"/>
        <w:snapToGrid/>
        <w:spacing w:line="600" w:lineRule="exact"/>
        <w:ind w:left="155" w:leftChars="74" w:firstLine="640" w:firstLineChars="200"/>
        <w:jc w:val="both"/>
        <w:textAlignment w:val="auto"/>
        <w:outlineLvl w:val="9"/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综合评审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41"/>
        <w:gridCol w:w="845"/>
        <w:gridCol w:w="5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评分内容</w:t>
            </w:r>
          </w:p>
        </w:tc>
        <w:tc>
          <w:tcPr>
            <w:tcW w:w="84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531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6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企业规模</w:t>
            </w:r>
          </w:p>
        </w:tc>
        <w:tc>
          <w:tcPr>
            <w:tcW w:w="84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</w:t>
            </w:r>
          </w:p>
        </w:tc>
        <w:tc>
          <w:tcPr>
            <w:tcW w:w="5318" w:type="dxa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1）202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年营业收入；低于0.2亿元，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分；0.2亿元到0.5亿元，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分；0.5亿元到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分；2亿元以上，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年资产总额：低于1亿元，2分；1亿元到5亿元，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分；5亿元到10亿元，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分；10亿元到20亿元，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分，20亿元以上，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营业收入和资产总额以202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年12月31日审计报告加盖公章为证明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56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服务方案</w:t>
            </w:r>
          </w:p>
        </w:tc>
        <w:tc>
          <w:tcPr>
            <w:tcW w:w="84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5318" w:type="dxa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拟派团队人员，其中：项目负责人，具有资产评估师执业资格证书得1分；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其他人员安排合理得0-4分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。本项最高得分5分，最低得分0分。</w:t>
            </w:r>
          </w:p>
          <w:p>
            <w:pPr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方案设计详实、具体、思路清晰、逻辑严谨、可操作性强，得0-5分。</w:t>
            </w:r>
          </w:p>
          <w:p>
            <w:pPr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项目时间安排及服务保障，投标人能够合理安排项目进展及及时解决公司合理诉求，得0-5分。</w:t>
            </w:r>
          </w:p>
          <w:p>
            <w:pPr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投标人应确保按时保质完成工作任务，并就如何加快工作进度及相应资源投入提出措施，得0-3分。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（5）方案设计针对性强，投标人能针对公司的实际情况制定合理的工作方案及提供有益建议，得0-2分。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6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过往业绩</w:t>
            </w:r>
          </w:p>
        </w:tc>
        <w:tc>
          <w:tcPr>
            <w:tcW w:w="84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</w:t>
            </w:r>
          </w:p>
        </w:tc>
        <w:tc>
          <w:tcPr>
            <w:tcW w:w="5318" w:type="dxa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年承接过关于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投资性房地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产项目开展资产评估数量，每个得5分，最多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6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服务报价</w:t>
            </w:r>
          </w:p>
        </w:tc>
        <w:tc>
          <w:tcPr>
            <w:tcW w:w="845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531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default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根据投标价格进行排序，投标价格最低的得40分，其他得分为：最低价格/投标价格</w:t>
            </w: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×</w:t>
            </w: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40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评委评分的平均数，即为参加比选的比选申请人的综合得分。综合得分最高的比选申请人为第一候选人；若出现两名以上综合得分相同的并列第一候选人，则以服务报价分高者为第一候选人；若服务报价分仍然相同，由评审小组投票决定第一候选人。</w:t>
      </w:r>
    </w:p>
    <w:p>
      <w:pPr>
        <w:spacing w:line="480" w:lineRule="exact"/>
        <w:rPr>
          <w:rFonts w:ascii="宋体" w:hAnsi="宋体"/>
          <w:color w:val="00000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CE5A4"/>
    <w:multiLevelType w:val="singleLevel"/>
    <w:tmpl w:val="593CE5A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5AF6"/>
    <w:rsid w:val="05F40CEB"/>
    <w:rsid w:val="06754424"/>
    <w:rsid w:val="07A90E64"/>
    <w:rsid w:val="08892F15"/>
    <w:rsid w:val="09453911"/>
    <w:rsid w:val="0A0105A7"/>
    <w:rsid w:val="0AB578AC"/>
    <w:rsid w:val="11EF7E31"/>
    <w:rsid w:val="14BD1BE2"/>
    <w:rsid w:val="19294BF7"/>
    <w:rsid w:val="19841777"/>
    <w:rsid w:val="1B9F593A"/>
    <w:rsid w:val="20BD7610"/>
    <w:rsid w:val="21460C32"/>
    <w:rsid w:val="21BB77C6"/>
    <w:rsid w:val="22024D08"/>
    <w:rsid w:val="2246277B"/>
    <w:rsid w:val="27742F80"/>
    <w:rsid w:val="327654BC"/>
    <w:rsid w:val="32BC543A"/>
    <w:rsid w:val="34FF4C56"/>
    <w:rsid w:val="38E374CB"/>
    <w:rsid w:val="3916422B"/>
    <w:rsid w:val="39CA4EDB"/>
    <w:rsid w:val="3AC82779"/>
    <w:rsid w:val="3AF17ED2"/>
    <w:rsid w:val="3E64108C"/>
    <w:rsid w:val="46135F9A"/>
    <w:rsid w:val="46E85801"/>
    <w:rsid w:val="46F87EC5"/>
    <w:rsid w:val="4C25029F"/>
    <w:rsid w:val="4FBD12C9"/>
    <w:rsid w:val="501A710C"/>
    <w:rsid w:val="51FA418B"/>
    <w:rsid w:val="527A265A"/>
    <w:rsid w:val="53795A84"/>
    <w:rsid w:val="559C3A0D"/>
    <w:rsid w:val="59055022"/>
    <w:rsid w:val="59715CC2"/>
    <w:rsid w:val="5A0E4D26"/>
    <w:rsid w:val="5ACB71E6"/>
    <w:rsid w:val="5BD54C18"/>
    <w:rsid w:val="62DD27B2"/>
    <w:rsid w:val="631C2777"/>
    <w:rsid w:val="66EB218D"/>
    <w:rsid w:val="74EA03C6"/>
    <w:rsid w:val="76822792"/>
    <w:rsid w:val="78361AE9"/>
    <w:rsid w:val="78B061B2"/>
    <w:rsid w:val="793E1747"/>
    <w:rsid w:val="794328CA"/>
    <w:rsid w:val="7DC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Heading #2|1"/>
    <w:basedOn w:val="1"/>
    <w:qFormat/>
    <w:uiPriority w:val="0"/>
    <w:pPr>
      <w:spacing w:after="210"/>
      <w:jc w:val="center"/>
      <w:outlineLvl w:val="1"/>
    </w:pPr>
    <w:rPr>
      <w:rFonts w:ascii="MingLiU" w:hAnsi="MingLiU" w:eastAsia="MingLiU" w:cs="MingLiU"/>
      <w:sz w:val="32"/>
      <w:szCs w:val="32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spacing w:line="490" w:lineRule="exact"/>
      <w:jc w:val="left"/>
      <w:outlineLvl w:val="2"/>
    </w:pPr>
    <w:rPr>
      <w:rFonts w:ascii="MingLiU" w:hAnsi="MingLiU" w:eastAsia="MingLiU" w:cs="MingLiU"/>
      <w:b/>
      <w:bCs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2022-11-11T09:42:00Z</dcterms:created>
  <dc:creator>YangXueJun</dc:creator>
  <cp:lastModifiedBy>杨雪君</cp:lastModifiedBy>
  <dcterms:modified xsi:type="dcterms:W3CDTF">2023-11-15T01:39:32Z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A232448888DA48B1A8A64857BBCC2B90</vt:lpwstr>
  </property>
</Properties>
</file>