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D59B07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</w:pPr>
      <w:bookmarkStart w:id="0" w:name="_GoBack"/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  <w:t xml:space="preserve">附件2 </w:t>
      </w:r>
    </w:p>
    <w:p w14:paraId="2AD340D9">
      <w:pPr>
        <w:pStyle w:val="2"/>
        <w:keepNext w:val="0"/>
        <w:keepLines w:val="0"/>
        <w:widowControl/>
        <w:suppressLineNumbers w:val="0"/>
        <w:shd w:val="clear" w:fill="FFFFFF"/>
        <w:spacing w:before="480" w:beforeAutospacing="0" w:after="240" w:afterAutospacing="0" w:line="450" w:lineRule="atLeast"/>
        <w:ind w:left="0" w:right="0" w:firstLine="0"/>
        <w:jc w:val="center"/>
        <w:rPr>
          <w:rFonts w:hint="default" w:ascii="仿宋_GB2312" w:hAnsi="TimesNewRoman" w:eastAsia="仿宋_GB2312" w:cs="仿宋-WinCharSetFFFF-H"/>
          <w:b w:val="0"/>
          <w:bCs w:val="0"/>
          <w:color w:val="FF0000"/>
          <w:kern w:val="0"/>
          <w:sz w:val="32"/>
          <w:szCs w:val="32"/>
          <w:lang w:val="en-US" w:eastAsia="zh-CN"/>
        </w:rPr>
      </w:pPr>
      <w:r>
        <w:rPr>
          <w:rFonts w:hint="default" w:ascii="Segoe UI" w:hAnsi="Segoe UI" w:eastAsia="Segoe UI" w:cs="Segoe UI"/>
          <w:b/>
          <w:bCs/>
          <w:caps w:val="0"/>
          <w:color w:val="0F1115"/>
          <w:spacing w:val="0"/>
          <w:sz w:val="30"/>
          <w:szCs w:val="30"/>
          <w:shd w:val="clear" w:fill="FFFFFF"/>
        </w:rPr>
        <w:t>海旅01号游船餐饮招商评审表</w:t>
      </w:r>
    </w:p>
    <w:bookmarkEnd w:id="0"/>
    <w:tbl>
      <w:tblPr>
        <w:tblStyle w:val="4"/>
        <w:tblW w:w="849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296"/>
        <w:gridCol w:w="1084"/>
        <w:gridCol w:w="5119"/>
      </w:tblGrid>
      <w:tr w14:paraId="4F3DA67C">
        <w:trPr>
          <w:trHeight w:val="0" w:hRule="atLeast"/>
          <w:tblHeader/>
          <w:jc w:val="center"/>
        </w:trPr>
        <w:tc>
          <w:tcPr>
            <w:tcW w:w="2296" w:type="dxa"/>
            <w:shd w:val="clear" w:color="auto" w:fill="FFFFFF"/>
            <w:noWrap w:val="0"/>
            <w:tcMar>
              <w:top w:w="150" w:type="dxa"/>
              <w:left w:w="-1" w:type="dxa"/>
              <w:bottom w:w="150" w:type="dxa"/>
              <w:right w:w="240" w:type="dxa"/>
            </w:tcMar>
            <w:vAlign w:val="center"/>
          </w:tcPr>
          <w:p w14:paraId="0C0572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i w:val="0"/>
                <w:iCs w:val="0"/>
                <w:caps w:val="0"/>
                <w:color w:val="0F1115"/>
                <w:spacing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aps w:val="0"/>
                <w:color w:val="0F1115"/>
                <w:spacing w:val="0"/>
                <w:kern w:val="0"/>
                <w:sz w:val="18"/>
                <w:szCs w:val="18"/>
                <w:lang w:val="en-US" w:eastAsia="zh-CN" w:bidi="ar"/>
              </w:rPr>
              <w:t>评审项目</w:t>
            </w:r>
          </w:p>
        </w:tc>
        <w:tc>
          <w:tcPr>
            <w:tcW w:w="1084" w:type="dxa"/>
            <w:shd w:val="clear" w:color="auto" w:fill="FFFFFF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29D88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i w:val="0"/>
                <w:iCs w:val="0"/>
                <w:caps w:val="0"/>
                <w:color w:val="0F1115"/>
                <w:spacing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aps w:val="0"/>
                <w:color w:val="0F1115"/>
                <w:spacing w:val="0"/>
                <w:kern w:val="0"/>
                <w:sz w:val="18"/>
                <w:szCs w:val="18"/>
                <w:lang w:val="en-US" w:eastAsia="zh-CN" w:bidi="ar"/>
              </w:rPr>
              <w:t>分值</w:t>
            </w:r>
          </w:p>
        </w:tc>
        <w:tc>
          <w:tcPr>
            <w:tcW w:w="5119" w:type="dxa"/>
            <w:shd w:val="clear" w:color="auto" w:fill="FFFFFF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36A48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i w:val="0"/>
                <w:iCs w:val="0"/>
                <w:caps w:val="0"/>
                <w:color w:val="0F1115"/>
                <w:spacing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aps w:val="0"/>
                <w:color w:val="0F1115"/>
                <w:spacing w:val="0"/>
                <w:kern w:val="0"/>
                <w:sz w:val="18"/>
                <w:szCs w:val="18"/>
                <w:lang w:val="en-US" w:eastAsia="zh-CN" w:bidi="ar"/>
              </w:rPr>
              <w:t>评分细则</w:t>
            </w:r>
          </w:p>
        </w:tc>
      </w:tr>
      <w:tr w14:paraId="01714959">
        <w:trPr>
          <w:trHeight w:val="0" w:hRule="atLeast"/>
          <w:jc w:val="center"/>
        </w:trPr>
        <w:tc>
          <w:tcPr>
            <w:tcW w:w="2296" w:type="dxa"/>
            <w:shd w:val="clear" w:color="auto" w:fill="FFFFFF"/>
            <w:noWrap w:val="0"/>
            <w:tcMar>
              <w:top w:w="150" w:type="dxa"/>
              <w:left w:w="-1" w:type="dxa"/>
              <w:bottom w:w="150" w:type="dxa"/>
              <w:right w:w="240" w:type="dxa"/>
            </w:tcMar>
            <w:vAlign w:val="center"/>
          </w:tcPr>
          <w:p w14:paraId="5CD1AF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18"/>
                <w:szCs w:val="18"/>
              </w:rPr>
            </w:pPr>
            <w:r>
              <w:rPr>
                <w:rStyle w:val="6"/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18"/>
                <w:szCs w:val="18"/>
                <w:lang w:val="en-US" w:eastAsia="zh-CN" w:bidi="ar"/>
              </w:rPr>
              <w:t>一、企业品牌实力</w:t>
            </w:r>
          </w:p>
        </w:tc>
        <w:tc>
          <w:tcPr>
            <w:tcW w:w="1084" w:type="dxa"/>
            <w:shd w:val="clear" w:color="auto" w:fill="FFFFFF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61881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right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18"/>
                <w:szCs w:val="18"/>
              </w:rPr>
            </w:pPr>
            <w:r>
              <w:rPr>
                <w:rStyle w:val="6"/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18"/>
                <w:szCs w:val="18"/>
                <w:lang w:val="en-US" w:eastAsia="zh-CN" w:bidi="ar"/>
              </w:rPr>
              <w:t>20分</w:t>
            </w:r>
          </w:p>
        </w:tc>
        <w:tc>
          <w:tcPr>
            <w:tcW w:w="5119" w:type="dxa"/>
            <w:shd w:val="clear" w:color="auto" w:fill="FFFFFF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D8271F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18"/>
                <w:szCs w:val="18"/>
              </w:rPr>
            </w:pPr>
          </w:p>
        </w:tc>
      </w:tr>
      <w:tr w14:paraId="4934C3CA">
        <w:trPr>
          <w:trHeight w:val="0" w:hRule="atLeast"/>
          <w:jc w:val="center"/>
        </w:trPr>
        <w:tc>
          <w:tcPr>
            <w:tcW w:w="2296" w:type="dxa"/>
            <w:shd w:val="clear" w:color="auto" w:fill="FFFFFF"/>
            <w:noWrap w:val="0"/>
            <w:tcMar>
              <w:top w:w="150" w:type="dxa"/>
              <w:left w:w="-1" w:type="dxa"/>
              <w:bottom w:w="150" w:type="dxa"/>
              <w:right w:w="240" w:type="dxa"/>
            </w:tcMar>
            <w:vAlign w:val="center"/>
          </w:tcPr>
          <w:p w14:paraId="00A166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kern w:val="0"/>
                <w:sz w:val="18"/>
                <w:szCs w:val="18"/>
                <w:lang w:val="en-US" w:eastAsia="zh-CN" w:bidi="ar"/>
              </w:rPr>
              <w:t>1.1 品牌影响力与知名度</w:t>
            </w:r>
          </w:p>
        </w:tc>
        <w:tc>
          <w:tcPr>
            <w:tcW w:w="1084" w:type="dxa"/>
            <w:shd w:val="clear" w:color="auto" w:fill="FFFFFF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456E2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right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kern w:val="0"/>
                <w:sz w:val="18"/>
                <w:szCs w:val="18"/>
                <w:lang w:val="en-US" w:eastAsia="zh-CN" w:bidi="ar"/>
              </w:rPr>
              <w:t>8分</w:t>
            </w:r>
          </w:p>
        </w:tc>
        <w:tc>
          <w:tcPr>
            <w:tcW w:w="5119" w:type="dxa"/>
            <w:shd w:val="clear" w:color="auto" w:fill="FFFFFF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16E8A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kern w:val="0"/>
                <w:sz w:val="18"/>
                <w:szCs w:val="18"/>
                <w:lang w:val="en-US" w:eastAsia="zh-CN" w:bidi="ar"/>
              </w:rPr>
              <w:t>- 全国性或区域性知名品牌，知名度高（7—8分）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kern w:val="0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kern w:val="0"/>
                <w:sz w:val="18"/>
                <w:szCs w:val="18"/>
                <w:lang w:val="en-US" w:eastAsia="zh-CN" w:bidi="ar"/>
              </w:rPr>
              <w:t>- 本地知名品牌，具有一定市场认知（5—6分）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kern w:val="0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kern w:val="0"/>
                <w:sz w:val="18"/>
                <w:szCs w:val="18"/>
                <w:lang w:val="en-US" w:eastAsia="zh-CN" w:bidi="ar"/>
              </w:rPr>
              <w:t>- 品牌影响力一般，知名度有限（3—4分）</w:t>
            </w:r>
          </w:p>
        </w:tc>
      </w:tr>
      <w:tr w14:paraId="582D2633">
        <w:trPr>
          <w:trHeight w:val="0" w:hRule="atLeast"/>
          <w:jc w:val="center"/>
        </w:trPr>
        <w:tc>
          <w:tcPr>
            <w:tcW w:w="2296" w:type="dxa"/>
            <w:shd w:val="clear" w:color="auto" w:fill="FFFFFF"/>
            <w:noWrap w:val="0"/>
            <w:tcMar>
              <w:top w:w="150" w:type="dxa"/>
              <w:left w:w="-1" w:type="dxa"/>
              <w:bottom w:w="150" w:type="dxa"/>
              <w:right w:w="240" w:type="dxa"/>
            </w:tcMar>
            <w:vAlign w:val="center"/>
          </w:tcPr>
          <w:p w14:paraId="740B83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kern w:val="0"/>
                <w:sz w:val="18"/>
                <w:szCs w:val="18"/>
                <w:lang w:val="en-US" w:eastAsia="zh-CN" w:bidi="ar"/>
              </w:rPr>
              <w:t>1.2 经营年限</w:t>
            </w:r>
          </w:p>
        </w:tc>
        <w:tc>
          <w:tcPr>
            <w:tcW w:w="1084" w:type="dxa"/>
            <w:shd w:val="clear" w:color="auto" w:fill="FFFFFF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04F5B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right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kern w:val="0"/>
                <w:sz w:val="18"/>
                <w:szCs w:val="18"/>
                <w:lang w:val="en-US" w:eastAsia="zh-CN" w:bidi="ar"/>
              </w:rPr>
              <w:t>6分</w:t>
            </w:r>
          </w:p>
        </w:tc>
        <w:tc>
          <w:tcPr>
            <w:tcW w:w="5119" w:type="dxa"/>
            <w:shd w:val="clear" w:color="auto" w:fill="FFFFFF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39344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kern w:val="0"/>
                <w:sz w:val="18"/>
                <w:szCs w:val="18"/>
                <w:lang w:val="en-US" w:eastAsia="zh-CN" w:bidi="ar"/>
              </w:rPr>
              <w:t>- 持续经营5年以上（6分）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kern w:val="0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kern w:val="0"/>
                <w:sz w:val="18"/>
                <w:szCs w:val="18"/>
                <w:lang w:val="en-US" w:eastAsia="zh-CN" w:bidi="ar"/>
              </w:rPr>
              <w:t>- 持续经营3年（4—5分）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kern w:val="0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kern w:val="0"/>
                <w:sz w:val="18"/>
                <w:szCs w:val="18"/>
                <w:lang w:val="en-US" w:eastAsia="zh-CN" w:bidi="ar"/>
              </w:rPr>
              <w:t>- 不足3年（0分）</w:t>
            </w:r>
          </w:p>
        </w:tc>
      </w:tr>
      <w:tr w14:paraId="5EBEABD0">
        <w:trPr>
          <w:trHeight w:val="0" w:hRule="atLeast"/>
          <w:jc w:val="center"/>
        </w:trPr>
        <w:tc>
          <w:tcPr>
            <w:tcW w:w="2296" w:type="dxa"/>
            <w:shd w:val="clear" w:color="auto" w:fill="FFFFFF"/>
            <w:noWrap w:val="0"/>
            <w:tcMar>
              <w:top w:w="150" w:type="dxa"/>
              <w:left w:w="-1" w:type="dxa"/>
              <w:bottom w:w="150" w:type="dxa"/>
              <w:right w:w="240" w:type="dxa"/>
            </w:tcMar>
            <w:vAlign w:val="center"/>
          </w:tcPr>
          <w:p w14:paraId="21245C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kern w:val="0"/>
                <w:sz w:val="18"/>
                <w:szCs w:val="18"/>
                <w:lang w:val="en-US" w:eastAsia="zh-CN" w:bidi="ar"/>
              </w:rPr>
              <w:t>1.3 本地市场经验</w:t>
            </w:r>
          </w:p>
        </w:tc>
        <w:tc>
          <w:tcPr>
            <w:tcW w:w="1084" w:type="dxa"/>
            <w:shd w:val="clear" w:color="auto" w:fill="FFFFFF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46BEF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right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kern w:val="0"/>
                <w:sz w:val="18"/>
                <w:szCs w:val="18"/>
                <w:lang w:val="en-US" w:eastAsia="zh-CN" w:bidi="ar"/>
              </w:rPr>
              <w:t>6分</w:t>
            </w:r>
          </w:p>
        </w:tc>
        <w:tc>
          <w:tcPr>
            <w:tcW w:w="5119" w:type="dxa"/>
            <w:shd w:val="clear" w:color="auto" w:fill="FFFFFF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1C892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kern w:val="0"/>
                <w:sz w:val="18"/>
                <w:szCs w:val="18"/>
                <w:lang w:val="en-US" w:eastAsia="zh-CN" w:bidi="ar"/>
              </w:rPr>
              <w:t>- 在海口有成熟实体店，运营良好，表现盈利（6分）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kern w:val="0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kern w:val="0"/>
                <w:sz w:val="18"/>
                <w:szCs w:val="18"/>
                <w:lang w:val="en-US" w:eastAsia="zh-CN" w:bidi="ar"/>
              </w:rPr>
              <w:t>- 有海口实体店但运营一般，表现微利或亏损（3—5分）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kern w:val="0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kern w:val="0"/>
                <w:sz w:val="18"/>
                <w:szCs w:val="18"/>
                <w:lang w:val="en-US" w:eastAsia="zh-CN" w:bidi="ar"/>
              </w:rPr>
              <w:t>- 无本地实体店（0分）</w:t>
            </w:r>
          </w:p>
        </w:tc>
      </w:tr>
      <w:tr w14:paraId="5F32D2B2">
        <w:trPr>
          <w:trHeight w:val="0" w:hRule="atLeast"/>
          <w:jc w:val="center"/>
        </w:trPr>
        <w:tc>
          <w:tcPr>
            <w:tcW w:w="2296" w:type="dxa"/>
            <w:shd w:val="clear" w:color="auto" w:fill="FFFFFF"/>
            <w:noWrap w:val="0"/>
            <w:tcMar>
              <w:top w:w="150" w:type="dxa"/>
              <w:left w:w="-1" w:type="dxa"/>
              <w:bottom w:w="150" w:type="dxa"/>
              <w:right w:w="240" w:type="dxa"/>
            </w:tcMar>
            <w:vAlign w:val="center"/>
          </w:tcPr>
          <w:p w14:paraId="361248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18"/>
                <w:szCs w:val="18"/>
              </w:rPr>
            </w:pPr>
            <w:r>
              <w:rPr>
                <w:rStyle w:val="6"/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18"/>
                <w:szCs w:val="18"/>
                <w:lang w:val="en-US" w:eastAsia="zh-CN" w:bidi="ar"/>
              </w:rPr>
              <w:t>二、运营方案质量</w:t>
            </w:r>
          </w:p>
        </w:tc>
        <w:tc>
          <w:tcPr>
            <w:tcW w:w="1084" w:type="dxa"/>
            <w:shd w:val="clear" w:color="auto" w:fill="FFFFFF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ABFF7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right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18"/>
                <w:szCs w:val="18"/>
              </w:rPr>
            </w:pPr>
            <w:r>
              <w:rPr>
                <w:rStyle w:val="6"/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18"/>
                <w:szCs w:val="18"/>
                <w:lang w:val="en-US" w:eastAsia="zh-CN" w:bidi="ar"/>
              </w:rPr>
              <w:t>30分</w:t>
            </w:r>
          </w:p>
        </w:tc>
        <w:tc>
          <w:tcPr>
            <w:tcW w:w="5119" w:type="dxa"/>
            <w:shd w:val="clear" w:color="auto" w:fill="FFFFFF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97762C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18"/>
                <w:szCs w:val="18"/>
              </w:rPr>
            </w:pPr>
          </w:p>
        </w:tc>
      </w:tr>
      <w:tr w14:paraId="25C3453B">
        <w:trPr>
          <w:trHeight w:val="0" w:hRule="atLeast"/>
          <w:jc w:val="center"/>
        </w:trPr>
        <w:tc>
          <w:tcPr>
            <w:tcW w:w="2296" w:type="dxa"/>
            <w:shd w:val="clear" w:color="auto" w:fill="FFFFFF"/>
            <w:noWrap w:val="0"/>
            <w:tcMar>
              <w:top w:w="150" w:type="dxa"/>
              <w:left w:w="-1" w:type="dxa"/>
              <w:bottom w:w="150" w:type="dxa"/>
              <w:right w:w="240" w:type="dxa"/>
            </w:tcMar>
            <w:vAlign w:val="center"/>
          </w:tcPr>
          <w:p w14:paraId="068C57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kern w:val="0"/>
                <w:sz w:val="18"/>
                <w:szCs w:val="18"/>
                <w:lang w:val="en-US" w:eastAsia="zh-CN" w:bidi="ar"/>
              </w:rPr>
              <w:t>2.1 项目定位与客群分析</w:t>
            </w:r>
          </w:p>
        </w:tc>
        <w:tc>
          <w:tcPr>
            <w:tcW w:w="1084" w:type="dxa"/>
            <w:shd w:val="clear" w:color="auto" w:fill="FFFFFF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A1405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right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kern w:val="0"/>
                <w:sz w:val="18"/>
                <w:szCs w:val="18"/>
                <w:lang w:val="en-US" w:eastAsia="zh-CN" w:bidi="ar"/>
              </w:rPr>
              <w:t>6分</w:t>
            </w:r>
          </w:p>
        </w:tc>
        <w:tc>
          <w:tcPr>
            <w:tcW w:w="5119" w:type="dxa"/>
            <w:shd w:val="clear" w:color="auto" w:fill="FFFFFF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82EF2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kern w:val="0"/>
                <w:sz w:val="18"/>
                <w:szCs w:val="18"/>
                <w:lang w:val="en-US" w:eastAsia="zh-CN" w:bidi="ar"/>
              </w:rPr>
              <w:t>- 定位清晰，客群分析精准（5—6分）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kern w:val="0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kern w:val="0"/>
                <w:sz w:val="18"/>
                <w:szCs w:val="18"/>
                <w:lang w:val="en-US" w:eastAsia="zh-CN" w:bidi="ar"/>
              </w:rPr>
              <w:t>- 定位较清晰，客群分析一般（3—4分）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kern w:val="0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kern w:val="0"/>
                <w:sz w:val="18"/>
                <w:szCs w:val="18"/>
                <w:lang w:val="en-US" w:eastAsia="zh-CN" w:bidi="ar"/>
              </w:rPr>
              <w:t>- 定位模糊，客群分析不足（0-2分）</w:t>
            </w:r>
          </w:p>
        </w:tc>
      </w:tr>
      <w:tr w14:paraId="1EEF726E">
        <w:trPr>
          <w:trHeight w:val="0" w:hRule="atLeast"/>
          <w:jc w:val="center"/>
        </w:trPr>
        <w:tc>
          <w:tcPr>
            <w:tcW w:w="2296" w:type="dxa"/>
            <w:shd w:val="clear" w:color="auto" w:fill="FFFFFF"/>
            <w:noWrap w:val="0"/>
            <w:tcMar>
              <w:top w:w="150" w:type="dxa"/>
              <w:left w:w="-1" w:type="dxa"/>
              <w:bottom w:w="150" w:type="dxa"/>
              <w:right w:w="240" w:type="dxa"/>
            </w:tcMar>
            <w:vAlign w:val="center"/>
          </w:tcPr>
          <w:p w14:paraId="6339D1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kern w:val="0"/>
                <w:sz w:val="18"/>
                <w:szCs w:val="18"/>
                <w:lang w:val="en-US" w:eastAsia="zh-CN" w:bidi="ar"/>
              </w:rPr>
              <w:t>2.2 各时段经营策略</w:t>
            </w:r>
          </w:p>
        </w:tc>
        <w:tc>
          <w:tcPr>
            <w:tcW w:w="1084" w:type="dxa"/>
            <w:shd w:val="clear" w:color="auto" w:fill="FFFFFF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9762E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right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kern w:val="0"/>
                <w:sz w:val="18"/>
                <w:szCs w:val="18"/>
                <w:lang w:val="en-US" w:eastAsia="zh-CN" w:bidi="ar"/>
              </w:rPr>
              <w:t>8分</w:t>
            </w:r>
          </w:p>
        </w:tc>
        <w:tc>
          <w:tcPr>
            <w:tcW w:w="5119" w:type="dxa"/>
            <w:shd w:val="clear" w:color="auto" w:fill="FFFFFF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AEBEE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kern w:val="0"/>
                <w:sz w:val="18"/>
                <w:szCs w:val="18"/>
                <w:lang w:val="en-US" w:eastAsia="zh-CN" w:bidi="ar"/>
              </w:rPr>
              <w:t>- 老爸茶、中餐、下午茶、晚餐、宵夜等时段策略完整、可行（7—8分）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kern w:val="0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kern w:val="0"/>
                <w:sz w:val="18"/>
                <w:szCs w:val="18"/>
                <w:lang w:val="en-US" w:eastAsia="zh-CN" w:bidi="ar"/>
              </w:rPr>
              <w:t>- 策略较完整，部分时段略显薄弱（5—6分）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kern w:val="0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kern w:val="0"/>
                <w:sz w:val="18"/>
                <w:szCs w:val="18"/>
                <w:lang w:val="en-US" w:eastAsia="zh-CN" w:bidi="ar"/>
              </w:rPr>
              <w:t>- 策略不完整或不可行（0-4分）</w:t>
            </w:r>
          </w:p>
        </w:tc>
      </w:tr>
      <w:tr w14:paraId="589EA4DF">
        <w:trPr>
          <w:trHeight w:val="0" w:hRule="atLeast"/>
          <w:jc w:val="center"/>
        </w:trPr>
        <w:tc>
          <w:tcPr>
            <w:tcW w:w="2296" w:type="dxa"/>
            <w:shd w:val="clear" w:color="auto" w:fill="FFFFFF"/>
            <w:noWrap w:val="0"/>
            <w:tcMar>
              <w:top w:w="150" w:type="dxa"/>
              <w:left w:w="-1" w:type="dxa"/>
              <w:bottom w:w="150" w:type="dxa"/>
              <w:right w:w="240" w:type="dxa"/>
            </w:tcMar>
            <w:vAlign w:val="center"/>
          </w:tcPr>
          <w:p w14:paraId="4303D0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kern w:val="0"/>
                <w:sz w:val="18"/>
                <w:szCs w:val="18"/>
                <w:lang w:val="en-US" w:eastAsia="zh-CN" w:bidi="ar"/>
              </w:rPr>
              <w:t>2.3 营销推广计划</w:t>
            </w:r>
          </w:p>
        </w:tc>
        <w:tc>
          <w:tcPr>
            <w:tcW w:w="1084" w:type="dxa"/>
            <w:shd w:val="clear" w:color="auto" w:fill="FFFFFF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BA0E6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right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kern w:val="0"/>
                <w:sz w:val="18"/>
                <w:szCs w:val="18"/>
                <w:lang w:val="en-US" w:eastAsia="zh-CN" w:bidi="ar"/>
              </w:rPr>
              <w:t>8分</w:t>
            </w:r>
          </w:p>
        </w:tc>
        <w:tc>
          <w:tcPr>
            <w:tcW w:w="5119" w:type="dxa"/>
            <w:shd w:val="clear" w:color="auto" w:fill="FFFFFF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EF56B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kern w:val="0"/>
                <w:sz w:val="18"/>
                <w:szCs w:val="18"/>
                <w:lang w:val="en-US" w:eastAsia="zh-CN" w:bidi="ar"/>
              </w:rPr>
              <w:t>- 营销手段多样，渠道清晰，可行性强（7—8分）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kern w:val="0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kern w:val="0"/>
                <w:sz w:val="18"/>
                <w:szCs w:val="18"/>
                <w:lang w:val="en-US" w:eastAsia="zh-CN" w:bidi="ar"/>
              </w:rPr>
              <w:t>- 营销手段一般，渠道较清晰，可行性一般（5—6分）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kern w:val="0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kern w:val="0"/>
                <w:sz w:val="18"/>
                <w:szCs w:val="18"/>
                <w:lang w:val="en-US" w:eastAsia="zh-CN" w:bidi="ar"/>
              </w:rPr>
              <w:t>- 营销计划简单或缺乏可行性（0-4分）</w:t>
            </w:r>
          </w:p>
        </w:tc>
      </w:tr>
      <w:tr w14:paraId="225A1F26">
        <w:trPr>
          <w:trHeight w:val="0" w:hRule="atLeast"/>
          <w:jc w:val="center"/>
        </w:trPr>
        <w:tc>
          <w:tcPr>
            <w:tcW w:w="2296" w:type="dxa"/>
            <w:shd w:val="clear" w:color="auto" w:fill="FFFFFF"/>
            <w:noWrap w:val="0"/>
            <w:tcMar>
              <w:top w:w="150" w:type="dxa"/>
              <w:left w:w="-1" w:type="dxa"/>
              <w:bottom w:w="150" w:type="dxa"/>
              <w:right w:w="240" w:type="dxa"/>
            </w:tcMar>
            <w:vAlign w:val="center"/>
          </w:tcPr>
          <w:p w14:paraId="463974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kern w:val="0"/>
                <w:sz w:val="18"/>
                <w:szCs w:val="18"/>
                <w:lang w:val="en-US" w:eastAsia="zh-CN" w:bidi="ar"/>
              </w:rPr>
              <w:t>2.4 产品创新性与差异化</w:t>
            </w:r>
          </w:p>
        </w:tc>
        <w:tc>
          <w:tcPr>
            <w:tcW w:w="1084" w:type="dxa"/>
            <w:shd w:val="clear" w:color="auto" w:fill="FFFFFF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2ADC6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right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kern w:val="0"/>
                <w:sz w:val="18"/>
                <w:szCs w:val="18"/>
                <w:lang w:val="en-US" w:eastAsia="zh-CN" w:bidi="ar"/>
              </w:rPr>
              <w:t>8分</w:t>
            </w:r>
          </w:p>
        </w:tc>
        <w:tc>
          <w:tcPr>
            <w:tcW w:w="5119" w:type="dxa"/>
            <w:shd w:val="clear" w:color="auto" w:fill="FFFFFF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FCFB3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kern w:val="0"/>
                <w:sz w:val="18"/>
                <w:szCs w:val="18"/>
                <w:lang w:val="en-US" w:eastAsia="zh-CN" w:bidi="ar"/>
              </w:rPr>
              <w:t>- 具有明显创新点，能形成差异化竞争优势（7—8分）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kern w:val="0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kern w:val="0"/>
                <w:sz w:val="18"/>
                <w:szCs w:val="18"/>
                <w:lang w:val="en-US" w:eastAsia="zh-CN" w:bidi="ar"/>
              </w:rPr>
              <w:t>- 有一定创新，但不够突出（5—6分）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kern w:val="0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kern w:val="0"/>
                <w:sz w:val="18"/>
                <w:szCs w:val="18"/>
                <w:lang w:val="en-US" w:eastAsia="zh-CN" w:bidi="ar"/>
              </w:rPr>
              <w:t>- 缺乏创新，同质化严重（0-4分）</w:t>
            </w:r>
          </w:p>
        </w:tc>
      </w:tr>
      <w:tr w14:paraId="2836FA8C">
        <w:trPr>
          <w:trHeight w:val="0" w:hRule="atLeast"/>
          <w:jc w:val="center"/>
        </w:trPr>
        <w:tc>
          <w:tcPr>
            <w:tcW w:w="2296" w:type="dxa"/>
            <w:shd w:val="clear" w:color="auto" w:fill="FFFFFF"/>
            <w:noWrap w:val="0"/>
            <w:tcMar>
              <w:top w:w="150" w:type="dxa"/>
              <w:left w:w="-1" w:type="dxa"/>
              <w:bottom w:w="150" w:type="dxa"/>
              <w:right w:w="240" w:type="dxa"/>
            </w:tcMar>
            <w:vAlign w:val="center"/>
          </w:tcPr>
          <w:p w14:paraId="0808A6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18"/>
                <w:szCs w:val="18"/>
              </w:rPr>
            </w:pPr>
            <w:r>
              <w:rPr>
                <w:rStyle w:val="6"/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18"/>
                <w:szCs w:val="18"/>
                <w:lang w:val="en-US" w:eastAsia="zh-CN" w:bidi="ar"/>
              </w:rPr>
              <w:t>三、服务体系与管理能力</w:t>
            </w:r>
          </w:p>
        </w:tc>
        <w:tc>
          <w:tcPr>
            <w:tcW w:w="1084" w:type="dxa"/>
            <w:shd w:val="clear" w:color="auto" w:fill="FFFFFF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CE9AD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right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18"/>
                <w:szCs w:val="18"/>
              </w:rPr>
            </w:pPr>
            <w:r>
              <w:rPr>
                <w:rStyle w:val="6"/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18"/>
                <w:szCs w:val="18"/>
                <w:lang w:val="en-US" w:eastAsia="zh-CN" w:bidi="ar"/>
              </w:rPr>
              <w:t>25分</w:t>
            </w:r>
          </w:p>
        </w:tc>
        <w:tc>
          <w:tcPr>
            <w:tcW w:w="5119" w:type="dxa"/>
            <w:shd w:val="clear" w:color="auto" w:fill="FFFFFF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E3F6F9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18"/>
                <w:szCs w:val="18"/>
              </w:rPr>
            </w:pPr>
          </w:p>
        </w:tc>
      </w:tr>
      <w:tr w14:paraId="1335D81A">
        <w:trPr>
          <w:trHeight w:val="0" w:hRule="atLeast"/>
          <w:jc w:val="center"/>
        </w:trPr>
        <w:tc>
          <w:tcPr>
            <w:tcW w:w="2296" w:type="dxa"/>
            <w:shd w:val="clear" w:color="auto" w:fill="FFFFFF"/>
            <w:noWrap w:val="0"/>
            <w:tcMar>
              <w:top w:w="150" w:type="dxa"/>
              <w:left w:w="-1" w:type="dxa"/>
              <w:bottom w:w="150" w:type="dxa"/>
              <w:right w:w="240" w:type="dxa"/>
            </w:tcMar>
            <w:vAlign w:val="center"/>
          </w:tcPr>
          <w:p w14:paraId="2CBC9A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kern w:val="0"/>
                <w:sz w:val="18"/>
                <w:szCs w:val="18"/>
                <w:lang w:val="en-US" w:eastAsia="zh-CN" w:bidi="ar"/>
              </w:rPr>
              <w:t>3.1 服务标准文件完整性</w:t>
            </w:r>
          </w:p>
        </w:tc>
        <w:tc>
          <w:tcPr>
            <w:tcW w:w="1084" w:type="dxa"/>
            <w:shd w:val="clear" w:color="auto" w:fill="FFFFFF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8DBE7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right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kern w:val="0"/>
                <w:sz w:val="18"/>
                <w:szCs w:val="18"/>
                <w:lang w:val="en-US" w:eastAsia="zh-CN" w:bidi="ar"/>
              </w:rPr>
              <w:t>10分</w:t>
            </w:r>
          </w:p>
        </w:tc>
        <w:tc>
          <w:tcPr>
            <w:tcW w:w="5119" w:type="dxa"/>
            <w:shd w:val="clear" w:color="auto" w:fill="FFFFFF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4B2BF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kern w:val="0"/>
                <w:sz w:val="18"/>
                <w:szCs w:val="18"/>
                <w:lang w:val="en-US" w:eastAsia="zh-CN" w:bidi="ar"/>
              </w:rPr>
              <w:t>- 产品开发、厨房管理、食品安全、客诉管理文件齐全、规范（9—10分）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kern w:val="0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kern w:val="0"/>
                <w:sz w:val="18"/>
                <w:szCs w:val="18"/>
                <w:lang w:val="en-US" w:eastAsia="zh-CN" w:bidi="ar"/>
              </w:rPr>
              <w:t>- 服务标准文件较齐全，但部分环节不够详细（7—8分）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kern w:val="0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kern w:val="0"/>
                <w:sz w:val="18"/>
                <w:szCs w:val="18"/>
                <w:lang w:val="en-US" w:eastAsia="zh-CN" w:bidi="ar"/>
              </w:rPr>
              <w:t>- 服务标准文件缺失或内容粗糙（0-6分）</w:t>
            </w:r>
          </w:p>
        </w:tc>
      </w:tr>
      <w:tr w14:paraId="1B0A364E">
        <w:trPr>
          <w:trHeight w:val="0" w:hRule="atLeast"/>
          <w:jc w:val="center"/>
        </w:trPr>
        <w:tc>
          <w:tcPr>
            <w:tcW w:w="2296" w:type="dxa"/>
            <w:shd w:val="clear" w:color="auto" w:fill="FFFFFF"/>
            <w:noWrap w:val="0"/>
            <w:tcMar>
              <w:top w:w="150" w:type="dxa"/>
              <w:left w:w="-1" w:type="dxa"/>
              <w:bottom w:w="150" w:type="dxa"/>
              <w:right w:w="240" w:type="dxa"/>
            </w:tcMar>
            <w:vAlign w:val="center"/>
          </w:tcPr>
          <w:p w14:paraId="7ABB98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kern w:val="0"/>
                <w:sz w:val="18"/>
                <w:szCs w:val="18"/>
                <w:lang w:val="en-US" w:eastAsia="zh-CN" w:bidi="ar"/>
              </w:rPr>
              <w:t>3.2 食品安全与应急预案</w:t>
            </w:r>
          </w:p>
        </w:tc>
        <w:tc>
          <w:tcPr>
            <w:tcW w:w="1084" w:type="dxa"/>
            <w:shd w:val="clear" w:color="auto" w:fill="FFFFFF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EE3E1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right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kern w:val="0"/>
                <w:sz w:val="18"/>
                <w:szCs w:val="18"/>
                <w:lang w:val="en-US" w:eastAsia="zh-CN" w:bidi="ar"/>
              </w:rPr>
              <w:t>8分</w:t>
            </w:r>
          </w:p>
        </w:tc>
        <w:tc>
          <w:tcPr>
            <w:tcW w:w="5119" w:type="dxa"/>
            <w:shd w:val="clear" w:color="auto" w:fill="FFFFFF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46FD8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kern w:val="0"/>
                <w:sz w:val="18"/>
                <w:szCs w:val="18"/>
                <w:lang w:val="en-US" w:eastAsia="zh-CN" w:bidi="ar"/>
              </w:rPr>
              <w:t>- 食品安全制度完善，应急预案具体可行（7—8分）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kern w:val="0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kern w:val="0"/>
                <w:sz w:val="18"/>
                <w:szCs w:val="18"/>
                <w:lang w:val="en-US" w:eastAsia="zh-CN" w:bidi="ar"/>
              </w:rPr>
              <w:t>- 制度较完整，但应急预案不够具体（5—6分）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kern w:val="0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kern w:val="0"/>
                <w:sz w:val="18"/>
                <w:szCs w:val="18"/>
                <w:lang w:val="en-US" w:eastAsia="zh-CN" w:bidi="ar"/>
              </w:rPr>
              <w:t>- 制度不完善或缺失（0-4分）</w:t>
            </w:r>
          </w:p>
        </w:tc>
      </w:tr>
      <w:tr w14:paraId="7971B46C">
        <w:trPr>
          <w:trHeight w:val="0" w:hRule="atLeast"/>
          <w:jc w:val="center"/>
        </w:trPr>
        <w:tc>
          <w:tcPr>
            <w:tcW w:w="2296" w:type="dxa"/>
            <w:shd w:val="clear" w:color="auto" w:fill="FFFFFF"/>
            <w:noWrap w:val="0"/>
            <w:tcMar>
              <w:top w:w="150" w:type="dxa"/>
              <w:left w:w="-1" w:type="dxa"/>
              <w:bottom w:w="150" w:type="dxa"/>
              <w:right w:w="240" w:type="dxa"/>
            </w:tcMar>
            <w:vAlign w:val="center"/>
          </w:tcPr>
          <w:p w14:paraId="2B7EFC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kern w:val="0"/>
                <w:sz w:val="18"/>
                <w:szCs w:val="18"/>
                <w:lang w:val="en-US" w:eastAsia="zh-CN" w:bidi="ar"/>
              </w:rPr>
              <w:t>3.3 客诉管理机制</w:t>
            </w:r>
          </w:p>
        </w:tc>
        <w:tc>
          <w:tcPr>
            <w:tcW w:w="1084" w:type="dxa"/>
            <w:shd w:val="clear" w:color="auto" w:fill="FFFFFF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12B14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right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kern w:val="0"/>
                <w:sz w:val="18"/>
                <w:szCs w:val="18"/>
                <w:lang w:val="en-US" w:eastAsia="zh-CN" w:bidi="ar"/>
              </w:rPr>
              <w:t>7分</w:t>
            </w:r>
          </w:p>
        </w:tc>
        <w:tc>
          <w:tcPr>
            <w:tcW w:w="5119" w:type="dxa"/>
            <w:shd w:val="clear" w:color="auto" w:fill="FFFFFF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91AC1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kern w:val="0"/>
                <w:sz w:val="18"/>
                <w:szCs w:val="18"/>
                <w:lang w:val="en-US" w:eastAsia="zh-CN" w:bidi="ar"/>
              </w:rPr>
              <w:t>- 客诉处理流程清晰，响应迅速，有闭环管理（6—7分）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kern w:val="0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kern w:val="0"/>
                <w:sz w:val="18"/>
                <w:szCs w:val="18"/>
                <w:lang w:val="en-US" w:eastAsia="zh-CN" w:bidi="ar"/>
              </w:rPr>
              <w:t>- 流程基本完整，但执行细节不足（4—5分）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kern w:val="0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kern w:val="0"/>
                <w:sz w:val="18"/>
                <w:szCs w:val="18"/>
                <w:lang w:val="en-US" w:eastAsia="zh-CN" w:bidi="ar"/>
              </w:rPr>
              <w:t>- 流程缺失或不清晰（0-3分）</w:t>
            </w:r>
          </w:p>
        </w:tc>
      </w:tr>
      <w:tr w14:paraId="69618881">
        <w:trPr>
          <w:trHeight w:val="0" w:hRule="atLeast"/>
          <w:jc w:val="center"/>
        </w:trPr>
        <w:tc>
          <w:tcPr>
            <w:tcW w:w="2296" w:type="dxa"/>
            <w:shd w:val="clear" w:color="auto" w:fill="FFFFFF"/>
            <w:noWrap w:val="0"/>
            <w:tcMar>
              <w:top w:w="150" w:type="dxa"/>
              <w:left w:w="-1" w:type="dxa"/>
              <w:bottom w:w="150" w:type="dxa"/>
              <w:right w:w="240" w:type="dxa"/>
            </w:tcMar>
            <w:vAlign w:val="center"/>
          </w:tcPr>
          <w:p w14:paraId="7F23F9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18"/>
                <w:szCs w:val="18"/>
              </w:rPr>
            </w:pPr>
            <w:r>
              <w:rPr>
                <w:rStyle w:val="6"/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18"/>
                <w:szCs w:val="18"/>
                <w:lang w:val="en-US" w:eastAsia="zh-CN" w:bidi="ar"/>
              </w:rPr>
              <w:t>四、商务条件</w:t>
            </w:r>
          </w:p>
        </w:tc>
        <w:tc>
          <w:tcPr>
            <w:tcW w:w="1084" w:type="dxa"/>
            <w:shd w:val="clear" w:color="auto" w:fill="FFFFFF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4999D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right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18"/>
                <w:szCs w:val="18"/>
              </w:rPr>
            </w:pPr>
            <w:r>
              <w:rPr>
                <w:rStyle w:val="6"/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18"/>
                <w:szCs w:val="18"/>
                <w:lang w:val="en-US" w:eastAsia="zh-CN" w:bidi="ar"/>
              </w:rPr>
              <w:t>25分</w:t>
            </w:r>
          </w:p>
        </w:tc>
        <w:tc>
          <w:tcPr>
            <w:tcW w:w="5119" w:type="dxa"/>
            <w:shd w:val="clear" w:color="auto" w:fill="FFFFFF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89D1C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18"/>
                <w:szCs w:val="18"/>
              </w:rPr>
            </w:pPr>
            <w:r>
              <w:rPr>
                <w:rStyle w:val="6"/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18"/>
                <w:szCs w:val="18"/>
                <w:lang w:val="en-US" w:eastAsia="zh-CN" w:bidi="ar"/>
              </w:rPr>
              <w:t>合作方式：固定租金与联营扣点两者取其高</w:t>
            </w:r>
          </w:p>
        </w:tc>
      </w:tr>
      <w:tr w14:paraId="5E49BDD1">
        <w:trPr>
          <w:trHeight w:val="0" w:hRule="atLeast"/>
          <w:jc w:val="center"/>
        </w:trPr>
        <w:tc>
          <w:tcPr>
            <w:tcW w:w="2296" w:type="dxa"/>
            <w:shd w:val="clear" w:color="auto" w:fill="FFFFFF"/>
            <w:noWrap w:val="0"/>
            <w:tcMar>
              <w:top w:w="150" w:type="dxa"/>
              <w:left w:w="-1" w:type="dxa"/>
              <w:bottom w:w="150" w:type="dxa"/>
              <w:right w:w="240" w:type="dxa"/>
            </w:tcMar>
            <w:vAlign w:val="center"/>
          </w:tcPr>
          <w:p w14:paraId="3202CC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18"/>
                <w:szCs w:val="18"/>
              </w:rPr>
            </w:pPr>
            <w:r>
              <w:rPr>
                <w:rStyle w:val="6"/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18"/>
                <w:szCs w:val="18"/>
                <w:lang w:val="en-US" w:eastAsia="zh-CN" w:bidi="ar"/>
              </w:rPr>
              <w:t>A. 固定租金（报价：__元/年）</w:t>
            </w:r>
          </w:p>
        </w:tc>
        <w:tc>
          <w:tcPr>
            <w:tcW w:w="1084" w:type="dxa"/>
            <w:shd w:val="clear" w:color="auto" w:fill="FFFFFF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397A5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right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18"/>
                <w:szCs w:val="18"/>
              </w:rPr>
            </w:pPr>
            <w:r>
              <w:rPr>
                <w:rStyle w:val="6"/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18"/>
                <w:szCs w:val="18"/>
                <w:lang w:val="en-US" w:eastAsia="zh-CN" w:bidi="ar"/>
              </w:rPr>
              <w:t>最高25分</w:t>
            </w:r>
          </w:p>
        </w:tc>
        <w:tc>
          <w:tcPr>
            <w:tcW w:w="5119" w:type="dxa"/>
            <w:shd w:val="clear" w:color="auto" w:fill="FFFFFF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44EBA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18"/>
                <w:szCs w:val="18"/>
              </w:rPr>
            </w:pPr>
            <w:r>
              <w:rPr>
                <w:rStyle w:val="6"/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18"/>
                <w:szCs w:val="18"/>
                <w:lang w:val="en-US" w:eastAsia="zh-CN" w:bidi="ar"/>
              </w:rPr>
              <w:t>按此部分或B部分中得分较高者计入最终商务条件分</w:t>
            </w:r>
          </w:p>
        </w:tc>
      </w:tr>
      <w:tr w14:paraId="584678BC">
        <w:trPr>
          <w:trHeight w:val="0" w:hRule="atLeast"/>
          <w:jc w:val="center"/>
        </w:trPr>
        <w:tc>
          <w:tcPr>
            <w:tcW w:w="2296" w:type="dxa"/>
            <w:shd w:val="clear" w:color="auto" w:fill="FFFFFF"/>
            <w:noWrap w:val="0"/>
            <w:tcMar>
              <w:top w:w="150" w:type="dxa"/>
              <w:left w:w="-1" w:type="dxa"/>
              <w:bottom w:w="150" w:type="dxa"/>
              <w:right w:w="240" w:type="dxa"/>
            </w:tcMar>
            <w:vAlign w:val="center"/>
          </w:tcPr>
          <w:p w14:paraId="40CE93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kern w:val="0"/>
                <w:sz w:val="18"/>
                <w:szCs w:val="18"/>
                <w:lang w:val="en-US" w:eastAsia="zh-CN" w:bidi="ar"/>
              </w:rPr>
              <w:t>  基础得分</w:t>
            </w:r>
          </w:p>
        </w:tc>
        <w:tc>
          <w:tcPr>
            <w:tcW w:w="1084" w:type="dxa"/>
            <w:shd w:val="clear" w:color="auto" w:fill="FFFFFF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411D1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right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kern w:val="0"/>
                <w:sz w:val="18"/>
                <w:szCs w:val="18"/>
                <w:lang w:val="en-US" w:eastAsia="zh-CN" w:bidi="ar"/>
              </w:rPr>
              <w:t>15分</w:t>
            </w:r>
          </w:p>
        </w:tc>
        <w:tc>
          <w:tcPr>
            <w:tcW w:w="5119" w:type="dxa"/>
            <w:shd w:val="clear" w:color="auto" w:fill="FFFFFF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6740B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18"/>
                <w:szCs w:val="18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kern w:val="0"/>
                <w:sz w:val="18"/>
                <w:szCs w:val="18"/>
                <w:lang w:val="en-US" w:eastAsia="zh-CN" w:bidi="ar"/>
              </w:rPr>
              <w:t>- 年平均租金达到30万元（得15分）（三年合作期，年平均低于30万元，不得分）</w:t>
            </w:r>
          </w:p>
        </w:tc>
      </w:tr>
      <w:tr w14:paraId="739874EF">
        <w:trPr>
          <w:trHeight w:val="0" w:hRule="atLeast"/>
          <w:jc w:val="center"/>
        </w:trPr>
        <w:tc>
          <w:tcPr>
            <w:tcW w:w="2296" w:type="dxa"/>
            <w:shd w:val="clear" w:color="auto" w:fill="FFFFFF"/>
            <w:noWrap w:val="0"/>
            <w:tcMar>
              <w:top w:w="150" w:type="dxa"/>
              <w:left w:w="-1" w:type="dxa"/>
              <w:bottom w:w="150" w:type="dxa"/>
              <w:right w:w="240" w:type="dxa"/>
            </w:tcMar>
            <w:vAlign w:val="center"/>
          </w:tcPr>
          <w:p w14:paraId="59A102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kern w:val="0"/>
                <w:sz w:val="18"/>
                <w:szCs w:val="18"/>
                <w:lang w:val="en-US" w:eastAsia="zh-CN" w:bidi="ar"/>
              </w:rPr>
              <w:t>  递增得分</w:t>
            </w:r>
          </w:p>
        </w:tc>
        <w:tc>
          <w:tcPr>
            <w:tcW w:w="1084" w:type="dxa"/>
            <w:shd w:val="clear" w:color="auto" w:fill="FFFFFF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963B2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right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kern w:val="0"/>
                <w:sz w:val="18"/>
                <w:szCs w:val="18"/>
                <w:lang w:val="en-US" w:eastAsia="zh-CN" w:bidi="ar"/>
              </w:rPr>
              <w:t>最高10分</w:t>
            </w:r>
          </w:p>
        </w:tc>
        <w:tc>
          <w:tcPr>
            <w:tcW w:w="5119" w:type="dxa"/>
            <w:shd w:val="clear" w:color="auto" w:fill="FFFFFF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A1AB2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kern w:val="0"/>
                <w:sz w:val="18"/>
                <w:szCs w:val="18"/>
                <w:lang w:val="en-US" w:eastAsia="zh-CN" w:bidi="ar"/>
              </w:rPr>
              <w:t>- 在30万元基础上，年租金每增加1万元，加1分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kern w:val="0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kern w:val="0"/>
                <w:sz w:val="18"/>
                <w:szCs w:val="18"/>
                <w:lang w:val="en-US" w:eastAsia="zh-CN" w:bidi="ar"/>
              </w:rPr>
              <w:t>- 最高加10分（即年租金≥40万元）</w:t>
            </w:r>
          </w:p>
        </w:tc>
      </w:tr>
      <w:tr w14:paraId="28EC8BE0">
        <w:trPr>
          <w:trHeight w:val="0" w:hRule="atLeast"/>
          <w:jc w:val="center"/>
        </w:trPr>
        <w:tc>
          <w:tcPr>
            <w:tcW w:w="2296" w:type="dxa"/>
            <w:shd w:val="clear" w:color="auto" w:fill="FFFFFF"/>
            <w:noWrap w:val="0"/>
            <w:tcMar>
              <w:top w:w="150" w:type="dxa"/>
              <w:left w:w="-1" w:type="dxa"/>
              <w:bottom w:w="150" w:type="dxa"/>
              <w:right w:w="240" w:type="dxa"/>
            </w:tcMar>
            <w:vAlign w:val="center"/>
          </w:tcPr>
          <w:p w14:paraId="763135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18"/>
                <w:szCs w:val="18"/>
              </w:rPr>
            </w:pPr>
            <w:r>
              <w:rPr>
                <w:rStyle w:val="6"/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18"/>
                <w:szCs w:val="18"/>
                <w:lang w:val="en-US" w:eastAsia="zh-CN" w:bidi="ar"/>
              </w:rPr>
              <w:t>B. 联营扣点报价（报价：____%）</w:t>
            </w:r>
          </w:p>
        </w:tc>
        <w:tc>
          <w:tcPr>
            <w:tcW w:w="1084" w:type="dxa"/>
            <w:shd w:val="clear" w:color="auto" w:fill="FFFFFF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236DA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right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18"/>
                <w:szCs w:val="18"/>
              </w:rPr>
            </w:pPr>
            <w:r>
              <w:rPr>
                <w:rStyle w:val="6"/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18"/>
                <w:szCs w:val="18"/>
                <w:lang w:val="en-US" w:eastAsia="zh-CN" w:bidi="ar"/>
              </w:rPr>
              <w:t>最高25分</w:t>
            </w:r>
          </w:p>
        </w:tc>
        <w:tc>
          <w:tcPr>
            <w:tcW w:w="5119" w:type="dxa"/>
            <w:shd w:val="clear" w:color="auto" w:fill="FFFFFF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D565C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18"/>
                <w:szCs w:val="18"/>
              </w:rPr>
            </w:pPr>
            <w:r>
              <w:rPr>
                <w:rStyle w:val="6"/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18"/>
                <w:szCs w:val="18"/>
                <w:lang w:val="en-US" w:eastAsia="zh-CN" w:bidi="ar"/>
              </w:rPr>
              <w:t>按此部分或A部分中得分较高者计入最终商务条件分</w:t>
            </w:r>
          </w:p>
        </w:tc>
      </w:tr>
      <w:tr w14:paraId="4EB6F156">
        <w:trPr>
          <w:trHeight w:val="0" w:hRule="atLeast"/>
          <w:jc w:val="center"/>
        </w:trPr>
        <w:tc>
          <w:tcPr>
            <w:tcW w:w="2296" w:type="dxa"/>
            <w:shd w:val="clear" w:color="auto" w:fill="FFFFFF"/>
            <w:noWrap w:val="0"/>
            <w:tcMar>
              <w:top w:w="150" w:type="dxa"/>
              <w:left w:w="-1" w:type="dxa"/>
              <w:bottom w:w="150" w:type="dxa"/>
              <w:right w:w="240" w:type="dxa"/>
            </w:tcMar>
            <w:vAlign w:val="center"/>
          </w:tcPr>
          <w:p w14:paraId="343F2E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kern w:val="0"/>
                <w:sz w:val="18"/>
                <w:szCs w:val="18"/>
                <w:lang w:val="en-US" w:eastAsia="zh-CN" w:bidi="ar"/>
              </w:rPr>
              <w:t>  基础得分</w:t>
            </w:r>
          </w:p>
        </w:tc>
        <w:tc>
          <w:tcPr>
            <w:tcW w:w="1084" w:type="dxa"/>
            <w:shd w:val="clear" w:color="auto" w:fill="FFFFFF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04C2C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right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kern w:val="0"/>
                <w:sz w:val="18"/>
                <w:szCs w:val="18"/>
                <w:lang w:val="en-US" w:eastAsia="zh-CN" w:bidi="ar"/>
              </w:rPr>
              <w:t>15分</w:t>
            </w:r>
          </w:p>
        </w:tc>
        <w:tc>
          <w:tcPr>
            <w:tcW w:w="5119" w:type="dxa"/>
            <w:shd w:val="clear" w:color="auto" w:fill="FFFFFF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B0530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kern w:val="0"/>
                <w:sz w:val="18"/>
                <w:szCs w:val="18"/>
                <w:lang w:val="en-US" w:eastAsia="zh-CN" w:bidi="ar"/>
              </w:rPr>
              <w:t>- 联营扣点率不低于营业额的 </w:t>
            </w:r>
            <w:r>
              <w:rPr>
                <w:rStyle w:val="6"/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18"/>
                <w:szCs w:val="18"/>
                <w:lang w:val="en-US" w:eastAsia="zh-CN" w:bidi="ar"/>
              </w:rPr>
              <w:t>15%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kern w:val="0"/>
                <w:sz w:val="18"/>
                <w:szCs w:val="18"/>
                <w:lang w:val="en-US" w:eastAsia="zh-CN" w:bidi="ar"/>
              </w:rPr>
              <w:t> （得15分）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kern w:val="0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kern w:val="0"/>
                <w:sz w:val="18"/>
                <w:szCs w:val="18"/>
                <w:lang w:val="en-US" w:eastAsia="zh-CN" w:bidi="ar"/>
              </w:rPr>
              <w:t>- </w:t>
            </w:r>
            <w:r>
              <w:rPr>
                <w:rStyle w:val="7"/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kern w:val="0"/>
                <w:sz w:val="18"/>
                <w:szCs w:val="18"/>
                <w:lang w:val="en-US" w:eastAsia="zh-CN" w:bidi="ar"/>
              </w:rPr>
              <w:t>注：扣点率低于15%的本项不得分</w:t>
            </w:r>
          </w:p>
        </w:tc>
      </w:tr>
      <w:tr w14:paraId="14E0C5A4">
        <w:trPr>
          <w:trHeight w:val="0" w:hRule="atLeast"/>
          <w:jc w:val="center"/>
        </w:trPr>
        <w:tc>
          <w:tcPr>
            <w:tcW w:w="2296" w:type="dxa"/>
            <w:shd w:val="clear" w:color="auto" w:fill="FFFFFF"/>
            <w:noWrap w:val="0"/>
            <w:tcMar>
              <w:top w:w="150" w:type="dxa"/>
              <w:left w:w="-1" w:type="dxa"/>
              <w:bottom w:w="150" w:type="dxa"/>
              <w:right w:w="240" w:type="dxa"/>
            </w:tcMar>
            <w:vAlign w:val="center"/>
          </w:tcPr>
          <w:p w14:paraId="49CF40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kern w:val="0"/>
                <w:sz w:val="18"/>
                <w:szCs w:val="18"/>
                <w:lang w:val="en-US" w:eastAsia="zh-CN" w:bidi="ar"/>
              </w:rPr>
              <w:t>  递增得分</w:t>
            </w:r>
          </w:p>
        </w:tc>
        <w:tc>
          <w:tcPr>
            <w:tcW w:w="1084" w:type="dxa"/>
            <w:shd w:val="clear" w:color="auto" w:fill="FFFFFF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36E61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right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kern w:val="0"/>
                <w:sz w:val="18"/>
                <w:szCs w:val="18"/>
                <w:lang w:val="en-US" w:eastAsia="zh-CN" w:bidi="ar"/>
              </w:rPr>
              <w:t>最高10分</w:t>
            </w:r>
          </w:p>
        </w:tc>
        <w:tc>
          <w:tcPr>
            <w:tcW w:w="5119" w:type="dxa"/>
            <w:shd w:val="clear" w:color="auto" w:fill="FFFFFF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9ECED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kern w:val="0"/>
                <w:sz w:val="18"/>
                <w:szCs w:val="18"/>
                <w:lang w:val="en-US" w:eastAsia="zh-CN" w:bidi="ar"/>
              </w:rPr>
              <w:t>- 在15%基础上，扣点率每增加1个百分点（即1%），加1分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kern w:val="0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kern w:val="0"/>
                <w:sz w:val="18"/>
                <w:szCs w:val="18"/>
                <w:lang w:val="en-US" w:eastAsia="zh-CN" w:bidi="ar"/>
              </w:rPr>
              <w:t>- 最高加10分（即扣点率≥25%）</w:t>
            </w:r>
          </w:p>
        </w:tc>
      </w:tr>
      <w:tr w14:paraId="21FD6D80">
        <w:trPr>
          <w:trHeight w:val="0" w:hRule="atLeast"/>
          <w:jc w:val="center"/>
        </w:trPr>
        <w:tc>
          <w:tcPr>
            <w:tcW w:w="2296" w:type="dxa"/>
            <w:shd w:val="clear" w:color="auto" w:fill="FFFFFF"/>
            <w:noWrap w:val="0"/>
            <w:tcMar>
              <w:top w:w="150" w:type="dxa"/>
              <w:left w:w="-1" w:type="dxa"/>
              <w:bottom w:w="150" w:type="dxa"/>
              <w:right w:w="240" w:type="dxa"/>
            </w:tcMar>
            <w:vAlign w:val="center"/>
          </w:tcPr>
          <w:p w14:paraId="6B4559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18"/>
                <w:szCs w:val="18"/>
              </w:rPr>
            </w:pPr>
            <w:r>
              <w:rPr>
                <w:rStyle w:val="6"/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18"/>
                <w:szCs w:val="18"/>
                <w:lang w:val="en-US" w:eastAsia="zh-CN" w:bidi="ar"/>
              </w:rPr>
              <w:t>最终商务条件得分</w:t>
            </w:r>
          </w:p>
        </w:tc>
        <w:tc>
          <w:tcPr>
            <w:tcW w:w="1084" w:type="dxa"/>
            <w:shd w:val="clear" w:color="auto" w:fill="FFFFFF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D4689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right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18"/>
                <w:szCs w:val="18"/>
              </w:rPr>
            </w:pPr>
            <w:r>
              <w:rPr>
                <w:rStyle w:val="6"/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18"/>
                <w:szCs w:val="18"/>
                <w:lang w:val="en-US" w:eastAsia="zh-CN" w:bidi="ar"/>
              </w:rPr>
              <w:t>25分</w:t>
            </w:r>
          </w:p>
        </w:tc>
        <w:tc>
          <w:tcPr>
            <w:tcW w:w="5119" w:type="dxa"/>
            <w:shd w:val="clear" w:color="auto" w:fill="FFFFFF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C3E71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18"/>
                <w:szCs w:val="18"/>
              </w:rPr>
            </w:pPr>
            <w:r>
              <w:rPr>
                <w:rStyle w:val="6"/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18"/>
                <w:szCs w:val="18"/>
                <w:lang w:val="en-US" w:eastAsia="zh-CN" w:bidi="ar"/>
              </w:rPr>
              <w:t>取 A部分 与 B部分 中得分较高者</w:t>
            </w:r>
          </w:p>
        </w:tc>
      </w:tr>
      <w:tr w14:paraId="561F0B02">
        <w:trPr>
          <w:trHeight w:val="0" w:hRule="atLeast"/>
          <w:jc w:val="center"/>
        </w:trPr>
        <w:tc>
          <w:tcPr>
            <w:tcW w:w="2296" w:type="dxa"/>
            <w:shd w:val="clear" w:color="auto" w:fill="FFFFFF"/>
            <w:noWrap w:val="0"/>
            <w:tcMar>
              <w:top w:w="150" w:type="dxa"/>
              <w:left w:w="-1" w:type="dxa"/>
              <w:bottom w:w="150" w:type="dxa"/>
              <w:right w:w="240" w:type="dxa"/>
            </w:tcMar>
            <w:vAlign w:val="center"/>
          </w:tcPr>
          <w:p w14:paraId="517F11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i w:val="0"/>
                <w:iCs w:val="0"/>
                <w:caps w:val="0"/>
                <w:color w:val="0F1115"/>
                <w:spacing w:val="0"/>
                <w:sz w:val="18"/>
                <w:szCs w:val="18"/>
              </w:rPr>
            </w:pPr>
            <w:r>
              <w:rPr>
                <w:rStyle w:val="6"/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18"/>
                <w:szCs w:val="18"/>
                <w:lang w:val="en-US" w:eastAsia="zh-CN" w:bidi="ar"/>
              </w:rPr>
              <w:t>总分</w:t>
            </w:r>
          </w:p>
        </w:tc>
        <w:tc>
          <w:tcPr>
            <w:tcW w:w="1084" w:type="dxa"/>
            <w:shd w:val="clear" w:color="auto" w:fill="FFFFFF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60EAE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right"/>
              <w:textAlignment w:val="auto"/>
              <w:rPr>
                <w:rFonts w:hint="eastAsia" w:ascii="宋体" w:hAnsi="宋体" w:eastAsia="宋体" w:cs="宋体"/>
                <w:b/>
                <w:i w:val="0"/>
                <w:iCs w:val="0"/>
                <w:caps w:val="0"/>
                <w:color w:val="0F1115"/>
                <w:spacing w:val="0"/>
                <w:sz w:val="18"/>
                <w:szCs w:val="18"/>
              </w:rPr>
            </w:pPr>
            <w:r>
              <w:rPr>
                <w:rStyle w:val="6"/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18"/>
                <w:szCs w:val="18"/>
                <w:lang w:val="en-US" w:eastAsia="zh-CN" w:bidi="ar"/>
              </w:rPr>
              <w:t>100分</w:t>
            </w:r>
          </w:p>
        </w:tc>
        <w:tc>
          <w:tcPr>
            <w:tcW w:w="5119" w:type="dxa"/>
            <w:shd w:val="clear" w:color="auto" w:fill="FFFFFF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B3FAB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b/>
                <w:i w:val="0"/>
                <w:iCs w:val="0"/>
                <w:caps w:val="0"/>
                <w:color w:val="0F1115"/>
                <w:spacing w:val="0"/>
                <w:sz w:val="18"/>
                <w:szCs w:val="18"/>
              </w:rPr>
            </w:pPr>
          </w:p>
        </w:tc>
      </w:tr>
    </w:tbl>
    <w:p w14:paraId="0AB54E78"/>
    <w:p w14:paraId="5589909A"/>
    <w:p w14:paraId="12AAA5CF"/>
    <w:sectPr>
      <w:pgSz w:w="11906" w:h="16838"/>
      <w:pgMar w:top="1440" w:right="1797" w:bottom="1440" w:left="1797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503050405090304"/>
    <w:charset w:val="7A"/>
    <w:family w:val="auto"/>
    <w:pitch w:val="default"/>
    <w:sig w:usb0="E0000AFF" w:usb1="00007843" w:usb2="00000001" w:usb3="00000000" w:csb0="400001BF" w:csb1="DFF7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TimesNewRoman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仿宋-WinCharSetFFFF-H">
    <w:altName w:val="仿宋-简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Segoe UI">
    <w:altName w:val="苹方-简"/>
    <w:panose1 w:val="020B0502040204020203"/>
    <w:charset w:val="00"/>
    <w:family w:val="auto"/>
    <w:pitch w:val="default"/>
    <w:sig w:usb0="00000000" w:usb1="00000000" w:usb2="00000009" w:usb3="00000000" w:csb0="200001FF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仿宋-简">
    <w:panose1 w:val="02010609060101010101"/>
    <w:charset w:val="86"/>
    <w:family w:val="auto"/>
    <w:pitch w:val="default"/>
    <w:sig w:usb0="A00002BF" w:usb1="3A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6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BBB5963"/>
    <w:rsid w:val="FBBB5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2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Emphasis"/>
    <w:basedOn w:val="5"/>
    <w:qFormat/>
    <w:uiPriority w:val="20"/>
    <w:rPr>
      <w:i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Office_12.1.26046.26046_F1E327BC-269C-435d-A152-05C5408002CA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2026-08-13T23:22:00Z</dcterms:created>
  <dc:creator>小叮当</dc:creator>
  <cp:lastModifiedBy>小叮当</cp:lastModifiedBy>
  <dcterms:modified xsi:type="dcterms:W3CDTF">2026-08-13T23:24:14Z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2052-12.1.26046.26046</vt:lpwstr>
  </property>
  <property fmtid="{D5CDD505-2E9C-101B-9397-08002B2CF9AE}" pid="3" name="ICV">
    <vt:lpwstr>2951C25D8A9587874DE17D6A0AB6DA1A_41</vt:lpwstr>
  </property>
</Properties>
</file>